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bidi w:val="0"/>
        <w:spacing w:lineRule="auto" w:line="240" w:before="0" w:after="283"/>
        <w:ind w:left="360" w:right="0" w:hanging="0"/>
        <w:jc w:val="center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36"/>
          <w:highlight w:val="white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36"/>
          <w:highlight w:val="white"/>
          <w:u w:val="none"/>
          <w:effect w:val="none"/>
        </w:rPr>
        <w:t>Министерством обороны Российской Федерации</w:t>
      </w:r>
    </w:p>
    <w:p>
      <w:pPr>
        <w:pStyle w:val="Style19"/>
        <w:widowControl/>
        <w:pBdr/>
        <w:bidi w:val="0"/>
        <w:spacing w:lineRule="auto" w:line="240"/>
        <w:ind w:left="0" w:right="0" w:hanging="0"/>
        <w:jc w:val="center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36"/>
          <w:highlight w:val="white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36"/>
          <w:highlight w:val="white"/>
          <w:u w:val="none"/>
          <w:effect w:val="none"/>
        </w:rPr>
        <w:t>проводится набор граждан в мобилизационный людской резерв</w:t>
      </w:r>
    </w:p>
    <w:p>
      <w:pPr>
        <w:pStyle w:val="Style19"/>
        <w:widowControl/>
        <w:pBdr/>
        <w:bidi w:val="0"/>
        <w:spacing w:lineRule="auto" w:line="240"/>
        <w:ind w:left="0" w:right="0" w:hanging="0"/>
        <w:jc w:val="center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36"/>
          <w:highlight w:val="white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36"/>
          <w:highlight w:val="white"/>
          <w:u w:val="none"/>
          <w:effect w:val="non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994785" cy="23482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785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rFonts w:ascii="Times New Roman" w:hAnsi="Times New Roman"/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Мобилизационный людской резерв – это гражданские люди, заключившие контракт с Министерством обороны РФ о пребывании в мобилизационном людском резерве.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rFonts w:ascii="Times New Roman" w:hAnsi="Times New Roman"/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Особенностью контракта является возможность совмещать основную гражданскую работу с регулярными военными занятиями и сборами.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</w:pPr>
      <w:r>
        <w:rPr>
          <w:rFonts w:ascii="Times New Roman" w:hAnsi="Times New Roman"/>
          <w:caps w:val="false"/>
          <w:smallCaps w:val="false"/>
          <w:strike w:val="false"/>
          <w:dstrike w:val="false"/>
          <w:color w:val="000000"/>
          <w:spacing w:val="0"/>
          <w:highlight w:val="white"/>
          <w:u w:val="none"/>
          <w:effect w:val="none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Гражданам за пребывание в мобилизационном людском резерве положены ежемесячные денежные выплаты которые составляют: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для офицеров – до 9000 руб.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для солдат, сержантов и прапорщиков запаса – до 6000 руб.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Кроме этого, в период проведения военных занятий и сборов гражданам выплачивается:денежное довольствие по занимаемой воинской должности, для офицеров – до 40 000 руб., для солдат, сержантов и прапорщиков – до 30 000 руб. пропорционально проведенному на занятиях или сборах времени.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Программа подготовки позволит гражданам за время пребывания в мобилизационном людском резерве: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- пройти теоретический и практический курсы боевой подготовки, в том числе курс практических стрельб из стрелкового оружия, танка, БМП и БТР;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- пройти курсы практического вождения на боевой технике (танк, БМП и БТР);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- пройти курс экстремального вождения;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- принять участие в военных парадах;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>- получить очередное воинское звание и государственные награды.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 xml:space="preserve">Для получения более полной информации о возможности поступления в мобилизационный людской резерв необходимо обратиться </w:t>
      </w:r>
      <w:r>
        <w:rPr>
          <w:rFonts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 xml:space="preserve">в военный комиссариат по </w:t>
      </w:r>
      <w:r>
        <w:rPr>
          <w:rFonts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  <w:lang w:val="ru-RU"/>
        </w:rPr>
        <w:t xml:space="preserve">адресу г. Краснотурьинск, ул. Фурманова, 56 </w:t>
      </w:r>
      <w:r>
        <w:rPr>
          <w:rFonts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</w:rPr>
        <w:t xml:space="preserve">или военно-учетный стол </w:t>
      </w:r>
      <w:r>
        <w:rPr>
          <w:rFonts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  <w:lang w:val="ru-RU"/>
        </w:rPr>
        <w:t>Администрации муниципального округа Карпинск по адресу г. Карпинск, ул. Почтамтская, д. 29.</w:t>
      </w:r>
    </w:p>
    <w:p>
      <w:pPr>
        <w:pStyle w:val="Style19"/>
        <w:widowControl/>
        <w:pBdr/>
        <w:bidi w:val="0"/>
        <w:spacing w:lineRule="auto" w:line="240" w:before="0" w:after="140"/>
        <w:ind w:left="0" w:right="0" w:firstLine="567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  <w:lang w:val="ru-RU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highlight w:val="white"/>
          <w:u w:val="none"/>
          <w:effect w:val="none"/>
          <w:lang w:val="ru-RU"/>
        </w:rPr>
      </w:r>
      <w:r>
        <w:br w:type="page"/>
      </w:r>
    </w:p>
    <w:p>
      <w:pPr>
        <w:pStyle w:val="Normal"/>
        <w:bidi w:val="0"/>
        <w:spacing w:lineRule="auto" w:line="300" w:before="0" w:after="283"/>
        <w:ind w:left="360" w:right="0" w:hanging="0"/>
        <w:jc w:val="center"/>
        <w:rPr/>
      </w:pPr>
      <w:r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  <w:t>6</w:t>
      </w:r>
      <w:r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  <w:t xml:space="preserve"> шагов к поступлению в резерв</w:t>
      </w:r>
    </w:p>
    <w:p>
      <w:pPr>
        <w:pStyle w:val="Style19"/>
        <w:numPr>
          <w:ilvl w:val="0"/>
          <w:numId w:val="1"/>
        </w:numPr>
        <w:pBdr/>
        <w:tabs>
          <w:tab w:val="clear" w:pos="709"/>
          <w:tab w:val="left" w:pos="360" w:leader="none"/>
        </w:tabs>
        <w:bidi w:val="0"/>
        <w:spacing w:lineRule="auto" w:line="240" w:before="0" w:after="0"/>
        <w:ind w:left="360" w:right="0" w:hanging="283"/>
        <w:jc w:val="left"/>
        <w:rPr>
          <w:sz w:val="24"/>
        </w:rPr>
      </w:pPr>
      <w:r>
        <w:rPr>
          <w:sz w:val="24"/>
        </w:rPr>
        <w:t xml:space="preserve">Подача заявления </w:t>
      </w:r>
      <w:r>
        <w:rPr>
          <w:sz w:val="24"/>
          <w:lang w:val="ru-RU"/>
        </w:rPr>
        <w:t xml:space="preserve">в военный комиссариат </w:t>
      </w:r>
      <w:r>
        <w:rPr>
          <w:sz w:val="24"/>
        </w:rPr>
        <w:t>о поступлении в резерв в военный комиссариат по месту воинского учета или пребывания;</w:t>
      </w:r>
    </w:p>
    <w:p>
      <w:pPr>
        <w:pStyle w:val="Style19"/>
        <w:numPr>
          <w:ilvl w:val="0"/>
          <w:numId w:val="1"/>
        </w:numPr>
        <w:pBdr/>
        <w:tabs>
          <w:tab w:val="clear" w:pos="709"/>
          <w:tab w:val="left" w:pos="360" w:leader="none"/>
        </w:tabs>
        <w:bidi w:val="0"/>
        <w:spacing w:lineRule="auto" w:line="240" w:before="240" w:after="0"/>
        <w:ind w:left="360" w:right="0" w:hanging="283"/>
        <w:jc w:val="left"/>
        <w:rPr>
          <w:sz w:val="24"/>
        </w:rPr>
      </w:pPr>
      <w:r>
        <w:rPr>
          <w:sz w:val="24"/>
        </w:rPr>
        <w:t>Сбор и представление минимального комплекта документов (заявление, анкета, копии паспорта и военного билета, СНИЛС, ИНН, справка о банковских реквизитах);</w:t>
      </w:r>
    </w:p>
    <w:p>
      <w:pPr>
        <w:pStyle w:val="Style19"/>
        <w:numPr>
          <w:ilvl w:val="0"/>
          <w:numId w:val="1"/>
        </w:numPr>
        <w:pBdr/>
        <w:tabs>
          <w:tab w:val="clear" w:pos="709"/>
          <w:tab w:val="left" w:pos="360" w:leader="none"/>
        </w:tabs>
        <w:bidi w:val="0"/>
        <w:spacing w:lineRule="auto" w:line="240" w:before="240" w:after="0"/>
        <w:ind w:left="360" w:right="0" w:hanging="283"/>
        <w:jc w:val="left"/>
        <w:rPr>
          <w:sz w:val="24"/>
        </w:rPr>
      </w:pPr>
      <w:r>
        <w:rPr>
          <w:sz w:val="24"/>
        </w:rPr>
        <w:t>Проведение мероприятий отбора (медицинское освидетельствование, тестирование на профессиональную пригодность) через военный комиссариат по месту жительства;</w:t>
      </w:r>
    </w:p>
    <w:p>
      <w:pPr>
        <w:pStyle w:val="Style19"/>
        <w:numPr>
          <w:ilvl w:val="0"/>
          <w:numId w:val="1"/>
        </w:numPr>
        <w:pBdr/>
        <w:tabs>
          <w:tab w:val="clear" w:pos="709"/>
          <w:tab w:val="left" w:pos="360" w:leader="none"/>
        </w:tabs>
        <w:bidi w:val="0"/>
        <w:spacing w:lineRule="auto" w:line="240" w:before="240" w:after="0"/>
        <w:ind w:left="360" w:right="0" w:hanging="283"/>
        <w:jc w:val="left"/>
        <w:rPr>
          <w:sz w:val="24"/>
        </w:rPr>
      </w:pPr>
      <w:r>
        <w:rPr>
          <w:sz w:val="24"/>
        </w:rPr>
        <w:t>Прохождение аттестационной комиссии в воинской части-формирователе;</w:t>
      </w:r>
    </w:p>
    <w:p>
      <w:pPr>
        <w:pStyle w:val="Style19"/>
        <w:numPr>
          <w:ilvl w:val="0"/>
          <w:numId w:val="1"/>
        </w:numPr>
        <w:pBdr/>
        <w:tabs>
          <w:tab w:val="clear" w:pos="709"/>
          <w:tab w:val="left" w:pos="360" w:leader="none"/>
        </w:tabs>
        <w:bidi w:val="0"/>
        <w:spacing w:lineRule="auto" w:line="240" w:before="240" w:after="0"/>
        <w:ind w:left="360" w:right="0" w:hanging="283"/>
        <w:jc w:val="left"/>
        <w:rPr>
          <w:sz w:val="24"/>
          <w:lang w:val="ru-RU"/>
        </w:rPr>
      </w:pPr>
      <w:r>
        <w:rPr>
          <w:sz w:val="24"/>
          <w:lang w:val="ru-RU"/>
        </w:rPr>
        <w:t>Сдача нормативов по физической подготовке, прохождение аттестационной комиссии;</w:t>
      </w:r>
    </w:p>
    <w:p>
      <w:pPr>
        <w:pStyle w:val="Style19"/>
        <w:numPr>
          <w:ilvl w:val="0"/>
          <w:numId w:val="1"/>
        </w:numPr>
        <w:pBdr/>
        <w:tabs>
          <w:tab w:val="clear" w:pos="709"/>
          <w:tab w:val="left" w:pos="360" w:leader="none"/>
        </w:tabs>
        <w:bidi w:val="0"/>
        <w:spacing w:lineRule="auto" w:line="240" w:before="240" w:after="0"/>
        <w:ind w:left="360" w:right="0" w:hanging="283"/>
        <w:jc w:val="left"/>
        <w:rPr>
          <w:sz w:val="24"/>
        </w:rPr>
      </w:pPr>
      <w:r>
        <w:rPr>
          <w:sz w:val="24"/>
        </w:rPr>
        <w:t>Заключение контракта о пребывании в резерве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left"/>
        <w:rPr/>
      </w:pPr>
      <w:r>
        <w:rPr>
          <w:rStyle w:val="Style15"/>
          <w:b/>
          <w:sz w:val="24"/>
          <w:u w:val="single"/>
        </w:rPr>
        <w:t>Контракт заключается:</w:t>
      </w:r>
    </w:p>
    <w:p>
      <w:pPr>
        <w:pStyle w:val="Style19"/>
        <w:numPr>
          <w:ilvl w:val="0"/>
          <w:numId w:val="2"/>
        </w:numPr>
        <w:pBdr/>
        <w:tabs>
          <w:tab w:val="clear" w:pos="709"/>
          <w:tab w:val="left" w:pos="360" w:leader="none"/>
        </w:tabs>
        <w:bidi w:val="0"/>
        <w:spacing w:lineRule="auto" w:line="240" w:before="0" w:after="0"/>
        <w:ind w:left="360" w:right="0" w:hanging="283"/>
        <w:jc w:val="left"/>
        <w:rPr>
          <w:sz w:val="24"/>
        </w:rPr>
      </w:pPr>
      <w:r>
        <w:rPr>
          <w:sz w:val="24"/>
        </w:rPr>
        <w:t>на 3 года, либо при меньшем сроке нового контракта - до наступления предельного возраста пребывания в резерве</w:t>
      </w:r>
    </w:p>
    <w:p>
      <w:pPr>
        <w:pStyle w:val="Style19"/>
        <w:numPr>
          <w:ilvl w:val="0"/>
          <w:numId w:val="2"/>
        </w:numPr>
        <w:pBdr/>
        <w:tabs>
          <w:tab w:val="clear" w:pos="709"/>
          <w:tab w:val="left" w:pos="360" w:leader="none"/>
        </w:tabs>
        <w:bidi w:val="0"/>
        <w:spacing w:lineRule="auto" w:line="240" w:before="240" w:after="0"/>
        <w:ind w:left="360" w:right="0" w:hanging="283"/>
        <w:jc w:val="left"/>
        <w:rPr>
          <w:sz w:val="24"/>
        </w:rPr>
      </w:pPr>
      <w:r>
        <w:rPr>
          <w:sz w:val="24"/>
        </w:rPr>
        <w:t>на 5 лет, либо при меньшем сроке нового контракта - до наступления предельного возврата пребывания в резерве </w:t>
      </w:r>
    </w:p>
    <w:p>
      <w:pPr>
        <w:pStyle w:val="Style19"/>
        <w:bidi w:val="0"/>
        <w:spacing w:lineRule="auto" w:line="300" w:before="0" w:after="0"/>
        <w:ind w:left="360" w:right="0" w:hanging="0"/>
        <w:jc w:val="center"/>
        <w:rPr>
          <w:b/>
          <w:i w:val="false"/>
          <w:caps w:val="false"/>
          <w:smallCaps w:val="false"/>
          <w:strike w:val="false"/>
          <w:dstrike w:val="false"/>
          <w:color w:val="1D1D1D"/>
          <w:sz w:val="32"/>
          <w:szCs w:val="32"/>
          <w:highlight w:val="white"/>
          <w:u w:val="none"/>
          <w:effect w:val="no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1D1D1D"/>
          <w:sz w:val="32"/>
          <w:szCs w:val="32"/>
          <w:highlight w:val="white"/>
          <w:u w:val="none"/>
          <w:effect w:val="none"/>
        </w:rPr>
      </w:r>
    </w:p>
    <w:p>
      <w:pPr>
        <w:pStyle w:val="Style19"/>
        <w:bidi w:val="0"/>
        <w:spacing w:lineRule="auto" w:line="300" w:before="0" w:after="0"/>
        <w:ind w:left="360" w:right="0" w:hanging="0"/>
        <w:jc w:val="center"/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  <w:t>Ежемесячные и единовременные денежные выплаты</w:t>
      </w:r>
    </w:p>
    <w:p>
      <w:pPr>
        <w:pStyle w:val="Style19"/>
        <w:bidi w:val="0"/>
        <w:spacing w:lineRule="auto" w:line="360" w:before="0" w:after="0"/>
        <w:ind w:left="360" w:right="0" w:hanging="0"/>
        <w:jc w:val="left"/>
        <w:rPr>
          <w:b/>
          <w:i w:val="false"/>
          <w:caps w:val="false"/>
          <w:smallCaps w:val="false"/>
          <w:sz w:val="27"/>
        </w:rPr>
      </w:pPr>
      <w:r>
        <w:rPr>
          <w:b/>
          <w:i w:val="false"/>
          <w:caps w:val="false"/>
          <w:smallCaps w:val="false"/>
          <w:sz w:val="27"/>
        </w:rPr>
        <w:t>Единовременные выплаты (при заключении нового контракта)</w:t>
      </w:r>
    </w:p>
    <w:tbl>
      <w:tblPr>
        <w:tblW w:w="8440" w:type="dxa"/>
        <w:jc w:val="left"/>
        <w:tblInd w:w="42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140"/>
        <w:gridCol w:w="4300"/>
      </w:tblGrid>
      <w:tr>
        <w:trPr/>
        <w:tc>
          <w:tcPr>
            <w:tcW w:w="414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  <w:u w:val="single"/>
              </w:rPr>
              <w:t>Контракт на 3 года</w:t>
            </w:r>
          </w:p>
        </w:tc>
        <w:tc>
          <w:tcPr>
            <w:tcW w:w="430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center"/>
              <w:rPr/>
            </w:pPr>
            <w:r>
              <w:rPr>
                <w:rStyle w:val="Style15"/>
                <w:b/>
                <w:u w:val="single"/>
              </w:rPr>
              <w:t>Контракт на 5 лет</w:t>
            </w:r>
          </w:p>
        </w:tc>
      </w:tr>
      <w:tr>
        <w:trPr/>
        <w:tc>
          <w:tcPr>
            <w:tcW w:w="414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 xml:space="preserve">Офицер </w:t>
            </w:r>
            <w:r>
              <w:rPr/>
              <w:t>- от 5 244 до 6 792 руб.</w:t>
            </w:r>
          </w:p>
        </w:tc>
        <w:tc>
          <w:tcPr>
            <w:tcW w:w="430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 xml:space="preserve">Офицер </w:t>
            </w:r>
            <w:r>
              <w:rPr/>
              <w:t>- от 7 866 до 10 188 руб.</w:t>
            </w:r>
          </w:p>
        </w:tc>
      </w:tr>
      <w:tr>
        <w:trPr/>
        <w:tc>
          <w:tcPr>
            <w:tcW w:w="414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 xml:space="preserve">Сержант </w:t>
            </w:r>
            <w:r>
              <w:rPr/>
              <w:t>- от 3 353 до 4 127 руб.</w:t>
            </w:r>
          </w:p>
        </w:tc>
        <w:tc>
          <w:tcPr>
            <w:tcW w:w="430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 xml:space="preserve">Сержант </w:t>
            </w:r>
            <w:r>
              <w:rPr/>
              <w:t>- от 5 030 до 6 190 руб.</w:t>
            </w:r>
          </w:p>
        </w:tc>
      </w:tr>
      <w:tr>
        <w:trPr/>
        <w:tc>
          <w:tcPr>
            <w:tcW w:w="414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 xml:space="preserve">Солдат </w:t>
            </w:r>
            <w:r>
              <w:rPr/>
              <w:t>- от 2 580 до 3 525 руб.</w:t>
            </w:r>
          </w:p>
        </w:tc>
        <w:tc>
          <w:tcPr>
            <w:tcW w:w="430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 xml:space="preserve">Солдат </w:t>
            </w:r>
            <w:r>
              <w:rPr/>
              <w:t>-  от 3 869 до 5 288 руб.</w:t>
            </w:r>
          </w:p>
        </w:tc>
      </w:tr>
    </w:tbl>
    <w:p>
      <w:pPr>
        <w:pStyle w:val="Style19"/>
        <w:bidi w:val="0"/>
        <w:spacing w:lineRule="auto" w:line="240" w:before="0" w:after="0"/>
        <w:ind w:left="360" w:right="0" w:hanging="0"/>
        <w:jc w:val="left"/>
        <w:rPr>
          <w:b/>
          <w:i w:val="false"/>
          <w:caps w:val="false"/>
          <w:smallCaps w:val="false"/>
          <w:sz w:val="27"/>
        </w:rPr>
      </w:pPr>
      <w:r>
        <w:rPr>
          <w:b/>
          <w:i w:val="false"/>
          <w:caps w:val="false"/>
          <w:smallCaps w:val="false"/>
          <w:sz w:val="27"/>
        </w:rPr>
      </w:r>
    </w:p>
    <w:p>
      <w:pPr>
        <w:pStyle w:val="Style19"/>
        <w:bidi w:val="0"/>
        <w:spacing w:lineRule="auto" w:line="240" w:before="0" w:after="0"/>
        <w:ind w:left="360" w:right="0" w:hanging="0"/>
        <w:jc w:val="left"/>
        <w:rPr>
          <w:b/>
          <w:i w:val="false"/>
          <w:caps w:val="false"/>
          <w:smallCaps w:val="false"/>
          <w:sz w:val="27"/>
        </w:rPr>
      </w:pPr>
      <w:r>
        <w:rPr>
          <w:b/>
          <w:i w:val="false"/>
          <w:caps w:val="false"/>
          <w:smallCaps w:val="false"/>
          <w:sz w:val="27"/>
        </w:rPr>
        <w:t>Ежемесячные выплаты (за пребывание в резерве)</w:t>
      </w:r>
    </w:p>
    <w:p>
      <w:pPr>
        <w:pStyle w:val="Style19"/>
        <w:bidi w:val="0"/>
        <w:spacing w:lineRule="auto" w:line="240" w:before="0" w:after="360"/>
        <w:ind w:left="360" w:right="0" w:hanging="0"/>
        <w:jc w:val="left"/>
        <w:rPr/>
      </w:pPr>
      <w:r>
        <w:rPr>
          <w:b w:val="false"/>
          <w:bCs w:val="false"/>
          <w:i w:val="false"/>
          <w:caps w:val="false"/>
          <w:smallCaps w:val="false"/>
          <w:sz w:val="27"/>
          <w:lang w:val="ru-RU"/>
        </w:rPr>
        <w:t xml:space="preserve">За пребывание в резерве ежемесячно  (кроме периодов участия в военных сборах и тренирововчных занятиях) </w:t>
      </w:r>
      <w:r>
        <w:rPr>
          <w:b/>
          <w:i w:val="false"/>
          <w:caps w:val="false"/>
          <w:smallCaps w:val="false"/>
          <w:sz w:val="27"/>
          <w:lang w:val="ru-RU"/>
        </w:rPr>
        <w:t>12% от окладов по воинской должности и воинскому званию</w:t>
      </w:r>
    </w:p>
    <w:tbl>
      <w:tblPr>
        <w:tblW w:w="4020" w:type="dxa"/>
        <w:jc w:val="left"/>
        <w:tblInd w:w="42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20"/>
      </w:tblGrid>
      <w:tr>
        <w:trPr/>
        <w:tc>
          <w:tcPr>
            <w:tcW w:w="402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>офицер</w:t>
            </w:r>
            <w:r>
              <w:rPr/>
              <w:t xml:space="preserve">- от 5 </w:t>
            </w:r>
            <w:r>
              <w:rPr/>
              <w:t>000</w:t>
            </w:r>
            <w:r>
              <w:rPr/>
              <w:t xml:space="preserve"> до 6 </w:t>
            </w:r>
            <w:r>
              <w:rPr/>
              <w:t>300</w:t>
            </w:r>
            <w:r>
              <w:rPr/>
              <w:t xml:space="preserve"> руб.</w:t>
            </w:r>
          </w:p>
        </w:tc>
      </w:tr>
      <w:tr>
        <w:trPr/>
        <w:tc>
          <w:tcPr>
            <w:tcW w:w="402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>сержант</w:t>
            </w:r>
            <w:r>
              <w:rPr/>
              <w:t>- от 3 3</w:t>
            </w:r>
            <w:r>
              <w:rPr/>
              <w:t xml:space="preserve">00 </w:t>
            </w:r>
            <w:r>
              <w:rPr/>
              <w:t xml:space="preserve">до 4 </w:t>
            </w:r>
            <w:r>
              <w:rPr/>
              <w:t>500</w:t>
            </w:r>
            <w:r>
              <w:rPr/>
              <w:t xml:space="preserve"> руб.</w:t>
            </w:r>
          </w:p>
        </w:tc>
      </w:tr>
      <w:tr>
        <w:trPr/>
        <w:tc>
          <w:tcPr>
            <w:tcW w:w="402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>солдат</w:t>
            </w:r>
            <w:r>
              <w:rPr/>
              <w:t xml:space="preserve">- от 2 </w:t>
            </w:r>
            <w:r>
              <w:rPr/>
              <w:t>700</w:t>
            </w:r>
            <w:r>
              <w:rPr/>
              <w:t xml:space="preserve"> до 3 </w:t>
            </w:r>
            <w:r>
              <w:rPr/>
              <w:t>200</w:t>
            </w:r>
            <w:r>
              <w:rPr/>
              <w:t xml:space="preserve"> руб.</w:t>
            </w:r>
          </w:p>
        </w:tc>
      </w:tr>
    </w:tbl>
    <w:p>
      <w:pPr>
        <w:pStyle w:val="Style19"/>
        <w:bidi w:val="0"/>
        <w:spacing w:lineRule="auto" w:line="360" w:before="0" w:after="0"/>
        <w:ind w:left="360" w:right="0" w:hanging="0"/>
        <w:jc w:val="left"/>
        <w:rPr>
          <w:b/>
          <w:i w:val="false"/>
          <w:caps w:val="false"/>
          <w:smallCaps w:val="false"/>
          <w:sz w:val="27"/>
        </w:rPr>
      </w:pPr>
      <w:r>
        <w:rPr>
          <w:b/>
          <w:i w:val="false"/>
          <w:caps w:val="false"/>
          <w:smallCaps w:val="false"/>
          <w:sz w:val="27"/>
        </w:rPr>
        <w:t>Ежемесячные выплаты (за участие в сборах)</w:t>
      </w:r>
    </w:p>
    <w:p>
      <w:pPr>
        <w:pStyle w:val="Style19"/>
        <w:bidi w:val="0"/>
        <w:spacing w:lineRule="auto" w:line="360" w:before="0" w:after="0"/>
        <w:ind w:left="360" w:right="0" w:hanging="0"/>
        <w:jc w:val="left"/>
        <w:rPr>
          <w:b w:val="false"/>
          <w:b w:val="false"/>
          <w:bCs w:val="false"/>
          <w:i w:val="false"/>
          <w:caps w:val="false"/>
          <w:smallCaps w:val="false"/>
          <w:sz w:val="27"/>
          <w:lang w:val="ru-RU"/>
        </w:rPr>
      </w:pPr>
      <w:r>
        <w:rPr>
          <w:b w:val="false"/>
          <w:bCs w:val="false"/>
          <w:i w:val="false"/>
          <w:caps w:val="false"/>
          <w:smallCaps w:val="false"/>
          <w:sz w:val="27"/>
          <w:lang w:val="ru-RU"/>
        </w:rPr>
        <w:t>За участие в военных сборах , в зависимости от воинской должности:</w:t>
      </w:r>
    </w:p>
    <w:tbl>
      <w:tblPr>
        <w:tblW w:w="4020" w:type="dxa"/>
        <w:jc w:val="left"/>
        <w:tblInd w:w="42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20"/>
      </w:tblGrid>
      <w:tr>
        <w:trPr/>
        <w:tc>
          <w:tcPr>
            <w:tcW w:w="402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>офицер</w:t>
            </w:r>
            <w:r>
              <w:rPr/>
              <w:t xml:space="preserve">- от </w:t>
            </w:r>
            <w:r>
              <w:rPr/>
              <w:t>37 7</w:t>
            </w:r>
            <w:r>
              <w:rPr/>
              <w:t>00</w:t>
            </w:r>
            <w:r>
              <w:rPr/>
              <w:t xml:space="preserve"> до </w:t>
            </w:r>
            <w:r>
              <w:rPr/>
              <w:t>51 9</w:t>
            </w:r>
            <w:r>
              <w:rPr/>
              <w:t>00</w:t>
            </w:r>
            <w:r>
              <w:rPr/>
              <w:t xml:space="preserve"> руб.</w:t>
            </w:r>
          </w:p>
        </w:tc>
      </w:tr>
      <w:tr>
        <w:trPr>
          <w:trHeight w:val="483" w:hRule="atLeast"/>
        </w:trPr>
        <w:tc>
          <w:tcPr>
            <w:tcW w:w="402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>сержант</w:t>
            </w:r>
            <w:r>
              <w:rPr/>
              <w:t xml:space="preserve">- от </w:t>
            </w:r>
            <w:r>
              <w:rPr/>
              <w:t>27 1</w:t>
            </w:r>
            <w:r>
              <w:rPr/>
              <w:t xml:space="preserve">00 </w:t>
            </w:r>
            <w:r>
              <w:rPr/>
              <w:t xml:space="preserve">до </w:t>
            </w:r>
            <w:r>
              <w:rPr/>
              <w:t>36 9</w:t>
            </w:r>
            <w:r>
              <w:rPr/>
              <w:t>00</w:t>
            </w:r>
            <w:r>
              <w:rPr/>
              <w:t xml:space="preserve"> руб.</w:t>
            </w:r>
          </w:p>
        </w:tc>
      </w:tr>
      <w:tr>
        <w:trPr/>
        <w:tc>
          <w:tcPr>
            <w:tcW w:w="4020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>солдат</w:t>
            </w:r>
            <w:r>
              <w:rPr/>
              <w:t xml:space="preserve">- от </w:t>
            </w:r>
            <w:r>
              <w:rPr/>
              <w:t xml:space="preserve">17 </w:t>
            </w:r>
            <w:r>
              <w:rPr/>
              <w:t>5</w:t>
            </w:r>
            <w:r>
              <w:rPr/>
              <w:t>00</w:t>
            </w:r>
            <w:r>
              <w:rPr/>
              <w:t xml:space="preserve"> до </w:t>
            </w:r>
            <w:r>
              <w:rPr/>
              <w:t>2</w:t>
            </w:r>
            <w:r>
              <w:rPr/>
              <w:t xml:space="preserve">6 </w:t>
            </w:r>
            <w:r>
              <w:rPr/>
              <w:t>300</w:t>
            </w:r>
            <w:r>
              <w:rPr/>
              <w:t xml:space="preserve"> руб.</w:t>
            </w:r>
          </w:p>
        </w:tc>
      </w:tr>
    </w:tbl>
    <w:p>
      <w:pPr>
        <w:pStyle w:val="Style19"/>
        <w:bidi w:val="0"/>
        <w:spacing w:lineRule="auto" w:line="240" w:before="0" w:after="132"/>
        <w:ind w:left="360" w:right="0" w:hanging="0"/>
        <w:jc w:val="left"/>
        <w:rPr>
          <w:b/>
          <w:i w:val="false"/>
          <w:caps w:val="false"/>
          <w:smallCaps w:val="false"/>
          <w:sz w:val="27"/>
        </w:rPr>
      </w:pPr>
      <w:r>
        <w:rPr>
          <w:b/>
          <w:i w:val="false"/>
          <w:caps w:val="false"/>
          <w:smallCaps w:val="false"/>
          <w:sz w:val="27"/>
        </w:rPr>
        <w:t>Дополнительные выплаты (ежемесячная процентная надбавка за непрерывное пребывание в резерве к месячному окладу)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left"/>
        <w:rPr/>
      </w:pPr>
      <w:r>
        <w:rPr>
          <w:rStyle w:val="Style15"/>
          <w:rFonts w:ascii="Times New Roman" w:hAnsi="Times New Roman"/>
          <w:b/>
          <w:sz w:val="24"/>
        </w:rPr>
        <w:t>от 3 до 5 лет</w:t>
      </w:r>
      <w:r>
        <w:rPr>
          <w:rFonts w:ascii="Times New Roman" w:hAnsi="Times New Roman"/>
          <w:sz w:val="24"/>
        </w:rPr>
        <w:t>- 10%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left"/>
        <w:rPr/>
      </w:pPr>
      <w:r>
        <w:rPr>
          <w:rStyle w:val="Style15"/>
          <w:rFonts w:ascii="Times New Roman" w:hAnsi="Times New Roman"/>
          <w:b/>
          <w:sz w:val="24"/>
        </w:rPr>
        <w:t>от 5 до 10 лет</w:t>
      </w:r>
      <w:r>
        <w:rPr>
          <w:rFonts w:ascii="Times New Roman" w:hAnsi="Times New Roman"/>
          <w:sz w:val="24"/>
        </w:rPr>
        <w:t>- 20%</w:t>
      </w:r>
    </w:p>
    <w:p>
      <w:pPr>
        <w:pStyle w:val="Style19"/>
        <w:pBdr/>
        <w:bidi w:val="0"/>
        <w:spacing w:lineRule="auto" w:line="240" w:before="0" w:after="0"/>
        <w:ind w:left="360" w:right="0" w:hanging="0"/>
        <w:jc w:val="left"/>
        <w:rPr/>
      </w:pPr>
      <w:r>
        <w:rPr>
          <w:rStyle w:val="Style15"/>
          <w:rFonts w:ascii="Times New Roman" w:hAnsi="Times New Roman"/>
          <w:b/>
          <w:sz w:val="24"/>
        </w:rPr>
        <w:t>от 10 до 15 лет</w:t>
      </w:r>
      <w:r>
        <w:rPr>
          <w:rFonts w:ascii="Times New Roman" w:hAnsi="Times New Roman"/>
          <w:sz w:val="24"/>
        </w:rPr>
        <w:t>- 30%</w:t>
      </w:r>
    </w:p>
    <w:p>
      <w:pPr>
        <w:pStyle w:val="Style19"/>
        <w:pBdr/>
        <w:bidi w:val="0"/>
        <w:spacing w:lineRule="auto" w:line="240" w:before="69" w:after="0"/>
        <w:ind w:left="360" w:right="0" w:hanging="0"/>
        <w:jc w:val="left"/>
        <w:rPr/>
      </w:pPr>
      <w:r>
        <w:rPr>
          <w:rStyle w:val="Style15"/>
          <w:rFonts w:ascii="Times New Roman" w:hAnsi="Times New Roman"/>
          <w:b/>
          <w:sz w:val="24"/>
        </w:rPr>
        <w:t>от 15 до 20 лет</w:t>
      </w:r>
      <w:r>
        <w:rPr>
          <w:rFonts w:ascii="Times New Roman" w:hAnsi="Times New Roman"/>
          <w:b w:val="false"/>
          <w:sz w:val="24"/>
        </w:rPr>
        <w:t>- 40%</w:t>
      </w:r>
    </w:p>
    <w:p>
      <w:pPr>
        <w:pStyle w:val="Style19"/>
        <w:pBdr/>
        <w:bidi w:val="0"/>
        <w:spacing w:lineRule="auto" w:line="240" w:before="69" w:after="0"/>
        <w:ind w:left="360" w:right="0" w:hanging="0"/>
        <w:jc w:val="left"/>
        <w:rPr/>
      </w:pPr>
      <w:r>
        <w:rPr>
          <w:rStyle w:val="Style15"/>
          <w:rFonts w:ascii="Times New Roman" w:hAnsi="Times New Roman"/>
          <w:b/>
          <w:sz w:val="24"/>
        </w:rPr>
        <w:t>20 лет и боле</w:t>
      </w:r>
      <w:r>
        <w:rPr>
          <w:rStyle w:val="Style15"/>
          <w:rFonts w:ascii="Times New Roman" w:hAnsi="Times New Roman"/>
          <w:b/>
          <w:sz w:val="24"/>
          <w:lang w:val="ru-RU"/>
        </w:rPr>
        <w:t>е</w:t>
      </w:r>
      <w:r>
        <w:rPr>
          <w:rFonts w:ascii="Times New Roman" w:hAnsi="Times New Roman"/>
          <w:b w:val="false"/>
          <w:sz w:val="24"/>
        </w:rPr>
        <w:t>- 50%</w:t>
      </w:r>
    </w:p>
    <w:p>
      <w:pPr>
        <w:pStyle w:val="Style19"/>
        <w:pBdr/>
        <w:bidi w:val="0"/>
        <w:spacing w:lineRule="auto" w:line="240" w:before="69" w:after="0"/>
        <w:ind w:left="360" w:right="0" w:hanging="0"/>
        <w:jc w:val="left"/>
        <w:rPr>
          <w:rFonts w:ascii="inherit" w:hAnsi="inherit"/>
          <w:b w:val="false"/>
          <w:sz w:val="24"/>
        </w:rPr>
      </w:pPr>
      <w:r>
        <w:rPr>
          <w:rFonts w:ascii="inherit" w:hAnsi="inherit"/>
          <w:b w:val="false"/>
          <w:sz w:val="24"/>
        </w:rPr>
      </w:r>
    </w:p>
    <w:p>
      <w:pPr>
        <w:pStyle w:val="Style19"/>
        <w:bidi w:val="0"/>
        <w:spacing w:lineRule="auto" w:line="240" w:before="0" w:after="0"/>
        <w:ind w:left="360" w:right="0" w:hanging="0"/>
        <w:jc w:val="left"/>
        <w:rPr>
          <w:b/>
          <w:i w:val="false"/>
          <w:caps w:val="false"/>
          <w:smallCaps w:val="false"/>
          <w:sz w:val="27"/>
        </w:rPr>
      </w:pPr>
      <w:r>
        <w:rPr>
          <w:b/>
          <w:i w:val="false"/>
          <w:caps w:val="false"/>
          <w:smallCaps w:val="false"/>
          <w:sz w:val="27"/>
        </w:rPr>
        <w:t>Дополнительные выплаты</w:t>
      </w:r>
    </w:p>
    <w:tbl>
      <w:tblPr>
        <w:tblW w:w="9612" w:type="dxa"/>
        <w:jc w:val="left"/>
        <w:tblInd w:w="42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528"/>
        <w:gridCol w:w="5084"/>
      </w:tblGrid>
      <w:tr>
        <w:trPr/>
        <w:tc>
          <w:tcPr>
            <w:tcW w:w="4528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>районный коэффициент </w:t>
            </w:r>
            <w:r>
              <w:rPr/>
              <w:t>(в регионах с неблагоприятным климатом)</w:t>
            </w:r>
          </w:p>
        </w:tc>
        <w:tc>
          <w:tcPr>
            <w:tcW w:w="5084" w:type="dxa"/>
            <w:tcBorders>
              <w:top w:val="single" w:sz="2" w:space="0" w:color="9E9E9E"/>
              <w:left w:val="single" w:sz="2" w:space="0" w:color="9E9E9E"/>
              <w:bottom w:val="single" w:sz="2" w:space="0" w:color="9E9E9E"/>
              <w:right w:val="single" w:sz="2" w:space="0" w:color="9E9E9E"/>
            </w:tcBorders>
            <w:vAlign w:val="center"/>
          </w:tcPr>
          <w:p>
            <w:pPr>
              <w:pStyle w:val="Style23"/>
              <w:bidi w:val="0"/>
              <w:spacing w:before="0" w:after="140"/>
              <w:jc w:val="left"/>
              <w:rPr/>
            </w:pPr>
            <w:r>
              <w:rPr>
                <w:rStyle w:val="Style15"/>
                <w:b/>
              </w:rPr>
              <w:t>компенсация проезда </w:t>
            </w:r>
            <w:r>
              <w:rPr/>
              <w:t>(от места проживания до военного комиссариата и обратно)</w:t>
            </w:r>
          </w:p>
        </w:tc>
      </w:tr>
    </w:tbl>
    <w:p>
      <w:pPr>
        <w:pStyle w:val="Style19"/>
        <w:bidi w:val="0"/>
        <w:spacing w:lineRule="auto" w:line="300" w:before="0" w:after="0"/>
        <w:ind w:left="360" w:right="0" w:hanging="0"/>
        <w:jc w:val="left"/>
        <w:rPr>
          <w:b/>
          <w:i w:val="false"/>
          <w:caps w:val="false"/>
          <w:smallCaps w:val="false"/>
          <w:strike w:val="false"/>
          <w:dstrike w:val="false"/>
          <w:color w:val="1D1D1D"/>
          <w:sz w:val="32"/>
          <w:szCs w:val="32"/>
          <w:highlight w:val="white"/>
          <w:u w:val="none"/>
          <w:effect w:val="no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1D1D1D"/>
          <w:sz w:val="32"/>
          <w:szCs w:val="32"/>
          <w:highlight w:val="white"/>
          <w:u w:val="none"/>
          <w:effect w:val="none"/>
        </w:rPr>
      </w:r>
    </w:p>
    <w:p>
      <w:pPr>
        <w:pStyle w:val="Style19"/>
        <w:bidi w:val="0"/>
        <w:spacing w:lineRule="auto" w:line="300"/>
        <w:ind w:left="360" w:right="0" w:hanging="0"/>
        <w:jc w:val="center"/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  <w:t>Социальные выплаты и гарантии</w:t>
      </w:r>
    </w:p>
    <w:p>
      <w:pPr>
        <w:pStyle w:val="Style19"/>
        <w:pBdr/>
        <w:bidi w:val="0"/>
        <w:spacing w:lineRule="auto" w:line="240" w:before="0" w:after="140"/>
        <w:ind w:left="340" w:right="0" w:firstLine="624"/>
        <w:jc w:val="both"/>
        <w:rPr/>
      </w:pPr>
      <w:r>
        <w:rPr>
          <w:rStyle w:val="Style15"/>
          <w:b/>
          <w:sz w:val="24"/>
        </w:rPr>
        <w:t>Граждане РФ, заключившие контракт о пребывании в резерве Минобороны РФ продолжают трудовую деятельность по основному месту работы</w:t>
      </w:r>
      <w:r>
        <w:rPr>
          <w:sz w:val="24"/>
        </w:rPr>
        <w:t> и </w:t>
      </w:r>
      <w:r>
        <w:rPr>
          <w:rStyle w:val="Style17"/>
          <w:sz w:val="24"/>
        </w:rPr>
        <w:t>в соответствии с Федеральным законом от 28 марта 1998 г. № 53-ФЗ «О воинской обязанности и военной службе», статьей 6 Постановления Правительства РФ от 1 декабря 2004 г. № 704 «О порядке компенсации расходов, понесенных организациями и гражданами Российской Федерации в связи с реализацией Федерального закона «О воинской обязанности и военной службе»</w:t>
      </w:r>
      <w:r>
        <w:rPr>
          <w:sz w:val="24"/>
        </w:rPr>
        <w:t> </w:t>
      </w:r>
      <w:r>
        <w:rPr>
          <w:rStyle w:val="Style15"/>
          <w:b/>
          <w:sz w:val="24"/>
        </w:rPr>
        <w:t>за ними</w:t>
      </w:r>
      <w:r>
        <w:rPr>
          <w:sz w:val="24"/>
        </w:rPr>
        <w:t> </w:t>
      </w:r>
      <w:r>
        <w:rPr>
          <w:rStyle w:val="Style15"/>
          <w:b/>
          <w:sz w:val="24"/>
          <w:u w:val="single"/>
        </w:rPr>
        <w:t>СОХРАНЯЕТСЯ</w:t>
      </w:r>
      <w:r>
        <w:rPr>
          <w:rStyle w:val="Style15"/>
          <w:b/>
          <w:sz w:val="24"/>
        </w:rPr>
        <w:t> рабочее место и средняя заработная плата по месту постоянной работы на период участия в военных (специальных) сборах (тренировочных занятиях)</w:t>
      </w:r>
      <w:r>
        <w:rPr>
          <w:sz w:val="24"/>
        </w:rPr>
        <w:t>.</w:t>
      </w:r>
    </w:p>
    <w:p>
      <w:pPr>
        <w:pStyle w:val="Style19"/>
        <w:pBdr/>
        <w:bidi w:val="0"/>
        <w:spacing w:lineRule="auto" w:line="240" w:before="0" w:after="0"/>
        <w:ind w:left="360" w:right="0" w:hanging="0"/>
        <w:jc w:val="both"/>
        <w:rPr/>
      </w:pPr>
      <w:r>
        <w:rPr>
          <w:rStyle w:val="Style15"/>
          <w:b/>
          <w:sz w:val="24"/>
          <w:u w:val="single"/>
        </w:rPr>
        <w:t>ОБЕСПЕЧЕНИЕ</w:t>
      </w:r>
      <w:r>
        <w:rPr>
          <w:rStyle w:val="Style15"/>
          <w:b/>
          <w:sz w:val="24"/>
        </w:rPr>
        <w:t> обмундированием на весь период пребывания в резерве, трехразовым питанием, врачебной помощью и лекарствами в период сборовых мероприятий</w:t>
      </w:r>
      <w:r>
        <w:rPr>
          <w:sz w:val="24"/>
        </w:rPr>
        <w:br/>
      </w:r>
      <w:r>
        <w:rPr>
          <w:rStyle w:val="Style17"/>
          <w:sz w:val="24"/>
        </w:rPr>
        <w:t>Федеральный закон от 27 мая 1998 г. № 76-ФЗ «О статусе военнослужащих», статья 14;</w:t>
        <w:br/>
        <w:t>Федеральный закон от 28 марта 1998 г. № 53-ФЗ «О воинской обязанности и военной службе», статья 5</w:t>
      </w:r>
    </w:p>
    <w:p>
      <w:pPr>
        <w:pStyle w:val="Style19"/>
        <w:pBdr/>
        <w:bidi w:val="0"/>
        <w:spacing w:lineRule="auto" w:line="240" w:before="240" w:after="140"/>
        <w:ind w:left="360" w:right="0" w:hanging="0"/>
        <w:jc w:val="both"/>
        <w:rPr/>
      </w:pPr>
      <w:r>
        <w:rPr>
          <w:rStyle w:val="Style15"/>
          <w:b/>
          <w:sz w:val="24"/>
          <w:u w:val="single"/>
        </w:rPr>
        <w:t>СТРАХОВАНИЕ</w:t>
      </w:r>
      <w:r>
        <w:rPr>
          <w:rStyle w:val="Style15"/>
          <w:b/>
          <w:sz w:val="24"/>
        </w:rPr>
        <w:t> жизни и здоровья за счет средств федерального бюджета при исполнении обязанностей военной службы</w:t>
      </w:r>
      <w:r>
        <w:rPr>
          <w:sz w:val="24"/>
        </w:rPr>
        <w:br/>
      </w:r>
      <w:r>
        <w:rPr>
          <w:rStyle w:val="Style17"/>
          <w:sz w:val="24"/>
        </w:rPr>
        <w:t>Федеральный закон от 28 марта 1998 г. № 52-ФЗ «Об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Федерации»</w:t>
      </w:r>
    </w:p>
    <w:p>
      <w:pPr>
        <w:pStyle w:val="Style19"/>
        <w:pBdr/>
        <w:bidi w:val="0"/>
        <w:spacing w:lineRule="auto" w:line="240" w:before="240" w:after="140"/>
        <w:ind w:left="360" w:right="0" w:hanging="0"/>
        <w:jc w:val="both"/>
        <w:rPr/>
      </w:pPr>
      <w:r>
        <w:rPr>
          <w:rStyle w:val="Style15"/>
          <w:b/>
          <w:sz w:val="24"/>
          <w:u w:val="single"/>
        </w:rPr>
        <w:t>БЕСПЛАТНЫЙ ПРОЕЗД</w:t>
      </w:r>
      <w:r>
        <w:rPr>
          <w:rStyle w:val="Style15"/>
          <w:b/>
          <w:sz w:val="24"/>
        </w:rPr>
        <w:t> к месту проведения военных (специальных) сборов и обратно </w:t>
      </w:r>
      <w:r>
        <w:rPr>
          <w:rStyle w:val="Style17"/>
          <w:sz w:val="24"/>
        </w:rPr>
        <w:t>Федеральный закон от 28 марта 1998 г. № 53-ФЗ «О воинской обязанности и военной службе», статья 6</w:t>
      </w:r>
    </w:p>
    <w:p>
      <w:pPr>
        <w:pStyle w:val="Style19"/>
        <w:bidi w:val="0"/>
        <w:spacing w:lineRule="auto" w:line="240" w:before="0" w:after="0"/>
        <w:ind w:left="360" w:right="0" w:hanging="0"/>
        <w:jc w:val="center"/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  <w:t>Требования к кандидатам</w:t>
      </w:r>
    </w:p>
    <w:p>
      <w:pPr>
        <w:pStyle w:val="Style19"/>
        <w:bidi w:val="0"/>
        <w:spacing w:lineRule="auto" w:line="240" w:before="0" w:after="360"/>
        <w:ind w:left="360" w:right="0" w:hanging="0"/>
        <w:jc w:val="left"/>
        <w:rPr>
          <w:b/>
          <w:i w:val="false"/>
          <w:caps w:val="false"/>
          <w:smallCaps w:val="false"/>
          <w:sz w:val="27"/>
        </w:rPr>
      </w:pPr>
      <w:r>
        <w:rPr>
          <w:b/>
          <w:i w:val="false"/>
          <w:caps w:val="false"/>
          <w:smallCaps w:val="false"/>
          <w:sz w:val="27"/>
        </w:rPr>
        <w:t>По возрасту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left"/>
        <w:rPr/>
      </w:pPr>
      <w:r>
        <w:rPr>
          <w:rStyle w:val="Style15"/>
          <w:b/>
          <w:sz w:val="24"/>
        </w:rPr>
        <w:t>воинское звание высшего офицера</w:t>
      </w:r>
      <w:r>
        <w:rPr>
          <w:sz w:val="24"/>
        </w:rPr>
        <w:t> - до 67 лет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left"/>
        <w:rPr/>
      </w:pPr>
      <w:r>
        <w:rPr>
          <w:rStyle w:val="Style15"/>
          <w:b/>
          <w:sz w:val="24"/>
        </w:rPr>
        <w:t>воинское звание старшего офицера</w:t>
      </w:r>
      <w:r>
        <w:rPr>
          <w:sz w:val="24"/>
        </w:rPr>
        <w:t> - до 62 лет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left"/>
        <w:rPr/>
      </w:pPr>
      <w:r>
        <w:rPr>
          <w:rStyle w:val="Style15"/>
          <w:b/>
          <w:sz w:val="24"/>
        </w:rPr>
        <w:t>воинское звание младшего офицера</w:t>
      </w:r>
      <w:r>
        <w:rPr>
          <w:sz w:val="24"/>
        </w:rPr>
        <w:t> - до 57 лет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left"/>
        <w:rPr/>
      </w:pPr>
      <w:r>
        <w:rPr>
          <w:rStyle w:val="Style15"/>
          <w:b/>
          <w:sz w:val="24"/>
        </w:rPr>
        <w:t>иное воинское звание</w:t>
      </w:r>
      <w:r>
        <w:rPr>
          <w:sz w:val="24"/>
        </w:rPr>
        <w:t> - до 52 лет</w:t>
      </w:r>
    </w:p>
    <w:p>
      <w:pPr>
        <w:pStyle w:val="Style19"/>
        <w:bidi w:val="0"/>
        <w:spacing w:lineRule="auto" w:line="240" w:before="0" w:after="0"/>
        <w:ind w:left="360" w:right="0" w:hanging="0"/>
        <w:jc w:val="left"/>
        <w:rPr>
          <w:b/>
          <w:i w:val="false"/>
          <w:caps w:val="false"/>
          <w:smallCaps w:val="false"/>
          <w:sz w:val="27"/>
        </w:rPr>
      </w:pPr>
      <w:r>
        <w:rPr>
          <w:b/>
          <w:i w:val="false"/>
          <w:caps w:val="false"/>
          <w:smallCaps w:val="false"/>
          <w:sz w:val="27"/>
        </w:rPr>
        <w:t>По здоровью</w:t>
      </w:r>
    </w:p>
    <w:p>
      <w:pPr>
        <w:pStyle w:val="Style19"/>
        <w:bidi w:val="0"/>
        <w:spacing w:lineRule="auto" w:line="240"/>
        <w:ind w:left="360" w:right="0" w:hanging="0"/>
        <w:jc w:val="center"/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  <w:t>Предельный возраст пребывания в резерве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both"/>
        <w:rPr/>
      </w:pPr>
      <w:r>
        <w:rPr>
          <w:rStyle w:val="Style15"/>
          <w:b/>
          <w:sz w:val="24"/>
        </w:rPr>
        <w:t>воинское звание высшего офицера</w:t>
      </w:r>
      <w:r>
        <w:rPr>
          <w:sz w:val="24"/>
        </w:rPr>
        <w:t>– 70 лет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both"/>
        <w:rPr/>
      </w:pPr>
      <w:r>
        <w:rPr>
          <w:rStyle w:val="Style15"/>
          <w:b/>
          <w:sz w:val="24"/>
        </w:rPr>
        <w:t>воинское звание старшего офицера</w:t>
      </w:r>
      <w:r>
        <w:rPr>
          <w:sz w:val="24"/>
        </w:rPr>
        <w:t>– 65 лет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both"/>
        <w:rPr/>
      </w:pPr>
      <w:r>
        <w:rPr>
          <w:rStyle w:val="Style15"/>
          <w:b/>
          <w:sz w:val="24"/>
        </w:rPr>
        <w:t>воинское звание младшего офицера</w:t>
      </w:r>
      <w:r>
        <w:rPr>
          <w:sz w:val="24"/>
        </w:rPr>
        <w:t>– 60 лет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both"/>
        <w:rPr/>
      </w:pPr>
      <w:r>
        <w:rPr>
          <w:rStyle w:val="Style15"/>
          <w:b/>
          <w:sz w:val="24"/>
        </w:rPr>
        <w:t>иное воинское звание</w:t>
      </w:r>
      <w:r>
        <w:rPr>
          <w:sz w:val="24"/>
        </w:rPr>
        <w:t>– 55 лет</w:t>
      </w:r>
    </w:p>
    <w:p>
      <w:pPr>
        <w:pStyle w:val="Style19"/>
        <w:bidi w:val="0"/>
        <w:spacing w:lineRule="auto" w:line="240"/>
        <w:ind w:left="360" w:right="0" w:hanging="0"/>
        <w:jc w:val="center"/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1D1D1D"/>
          <w:sz w:val="48"/>
          <w:highlight w:val="white"/>
          <w:u w:val="none"/>
          <w:effect w:val="none"/>
        </w:rPr>
        <w:t>Система подготовки резерва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both"/>
        <w:rPr/>
      </w:pPr>
      <w:r>
        <w:rPr>
          <w:rStyle w:val="Style15"/>
          <w:b/>
          <w:sz w:val="24"/>
          <w:u w:val="single"/>
        </w:rPr>
        <w:t>В год - 54 дня</w:t>
      </w:r>
      <w:r>
        <w:rPr>
          <w:sz w:val="24"/>
        </w:rPr>
        <w:t>, из которых: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both"/>
        <w:rPr/>
      </w:pPr>
      <w:r>
        <w:rPr>
          <w:rStyle w:val="Style15"/>
          <w:b/>
          <w:sz w:val="24"/>
        </w:rPr>
        <w:t xml:space="preserve">Одиночная подготовка </w:t>
      </w:r>
      <w:r>
        <w:rPr>
          <w:sz w:val="24"/>
        </w:rPr>
        <w:t>- тренировочные занятия ежеквартально по 6 дней (</w:t>
      </w:r>
      <w:r>
        <w:rPr>
          <w:rStyle w:val="Style17"/>
          <w:sz w:val="24"/>
        </w:rPr>
        <w:t xml:space="preserve">в год - </w:t>
      </w:r>
      <w:r>
        <w:rPr>
          <w:rStyle w:val="Style17"/>
          <w:sz w:val="24"/>
          <w:u w:val="single"/>
        </w:rPr>
        <w:t>24 дня</w:t>
      </w:r>
      <w:r>
        <w:rPr>
          <w:sz w:val="24"/>
        </w:rPr>
        <w:t>)</w:t>
      </w:r>
    </w:p>
    <w:p>
      <w:pPr>
        <w:pStyle w:val="Style19"/>
        <w:pBdr/>
        <w:bidi w:val="0"/>
        <w:spacing w:lineRule="auto" w:line="240" w:before="0" w:after="140"/>
        <w:ind w:left="360" w:right="0" w:hanging="0"/>
        <w:jc w:val="both"/>
        <w:rPr/>
      </w:pPr>
      <w:r>
        <w:rPr>
          <w:rStyle w:val="Style15"/>
          <w:b/>
          <w:sz w:val="24"/>
        </w:rPr>
        <w:t>Подготовка в составе подразделений</w:t>
      </w:r>
      <w:r>
        <w:rPr>
          <w:sz w:val="24"/>
        </w:rPr>
        <w:t> - учебные сборы раз в полугодие по 15 дней (</w:t>
      </w:r>
      <w:r>
        <w:rPr>
          <w:rStyle w:val="Style17"/>
          <w:sz w:val="24"/>
        </w:rPr>
        <w:t xml:space="preserve">в год - </w:t>
      </w:r>
      <w:r>
        <w:rPr>
          <w:rStyle w:val="Style17"/>
          <w:sz w:val="24"/>
          <w:u w:val="single"/>
        </w:rPr>
        <w:t>30 дней</w:t>
      </w:r>
      <w:r>
        <w:rPr>
          <w:sz w:val="24"/>
        </w:rPr>
        <w:t>)</w:t>
      </w:r>
    </w:p>
    <w:p>
      <w:pPr>
        <w:pStyle w:val="Normal"/>
        <w:bidi w:val="0"/>
        <w:spacing w:lineRule="auto" w:line="240"/>
        <w:jc w:val="both"/>
        <w:rPr/>
      </w:pPr>
      <w:r>
        <w:rPr/>
      </w:r>
    </w:p>
    <w:sectPr>
      <w:type w:val="nextPage"/>
      <w:pgSz w:w="12240" w:h="15840"/>
      <w:pgMar w:left="1134" w:right="1134" w:header="0" w:top="880" w:footer="0" w:bottom="340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Arial">
    <w:altName w:val="sans-serif"/>
    <w:charset w:val="cc"/>
    <w:family w:val="auto"/>
    <w:pitch w:val="default"/>
  </w:font>
  <w:font w:name="Times New Roman">
    <w:charset w:val="cc"/>
    <w:family w:val="roman"/>
    <w:pitch w:val="variable"/>
  </w:font>
  <w:font w:name="inherit">
    <w:charset w:val="cc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2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character" w:styleId="Style14">
    <w:name w:val="Символ нумерации"/>
    <w:qFormat/>
    <w:rPr/>
  </w:style>
  <w:style w:type="character" w:styleId="Style15">
    <w:name w:val="Выделение жирным"/>
    <w:qFormat/>
    <w:rPr>
      <w:b/>
      <w:bCs/>
    </w:rPr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character" w:styleId="Style17">
    <w:name w:val="Выделение"/>
    <w:qFormat/>
    <w:rPr>
      <w:i/>
      <w:i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Содержимое таблицы"/>
    <w:basedOn w:val="Normal"/>
    <w:qFormat/>
    <w:pPr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LibreOffice/6.4.4.2$Windows_X86_64 LibreOffice_project/3d775be2011f3886db32dfd395a6a6d1ca2630ff</Application>
  <Pages>4</Pages>
  <Words>907</Words>
  <CharactersWithSpaces>6096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cp:lastPrinted>2026-07-28T11:02:23Z</cp:lastPrinted>
  <dcterms:modified xsi:type="dcterms:W3CDTF">2026-07-28T10:57:46Z</dcterms:modified>
  <cp:revision>1</cp:revision>
  <dc:subject/>
  <dc:title/>
</cp:coreProperties>
</file>